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314B" w14:textId="0846A077" w:rsidR="00BB056D" w:rsidRPr="0077392D" w:rsidRDefault="00BB056D" w:rsidP="00B200FB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Duais Gearrscannáin Chill Mhantáin</w:t>
      </w:r>
    </w:p>
    <w:p w14:paraId="41A79C1D" w14:textId="65EF222C" w:rsidR="00BB056D" w:rsidRPr="0077392D" w:rsidRDefault="00BB056D" w:rsidP="00B200FB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Ceisteanna Coitianta</w:t>
      </w:r>
    </w:p>
    <w:p w14:paraId="10339C40" w14:textId="04280285" w:rsidR="00BB056D" w:rsidRPr="0077392D" w:rsidRDefault="00BB056D" w:rsidP="00B200FB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(arna nuashonrú 26/02/2025)</w:t>
      </w:r>
    </w:p>
    <w:p w14:paraId="1C7C0F9E" w14:textId="77777777" w:rsidR="00BB056D" w:rsidRPr="0077392D" w:rsidRDefault="00BB056D" w:rsidP="00B200FB">
      <w:pPr>
        <w:jc w:val="both"/>
        <w:rPr>
          <w:b/>
          <w:bCs/>
          <w:u w:val="single"/>
        </w:rPr>
      </w:pPr>
    </w:p>
    <w:p w14:paraId="495CF969" w14:textId="3583FDB6" w:rsidR="00530DE9" w:rsidRPr="0077392D" w:rsidRDefault="00530DE9" w:rsidP="00B200F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</w:rPr>
        <w:t xml:space="preserve">An féidir leis an gcomhlacht léiriúcháin trína bhfuil mé ag cur isteach a bheith lonnaithe lasmuigh de Chontae Chill Mhantáin? </w:t>
      </w:r>
    </w:p>
    <w:p w14:paraId="5F53F14A" w14:textId="587F5F2B" w:rsidR="00BB056D" w:rsidRPr="0077392D" w:rsidRDefault="00BB056D" w:rsidP="00B200FB">
      <w:pPr>
        <w:ind w:left="360"/>
        <w:jc w:val="both"/>
      </w:pPr>
      <w:r>
        <w:t xml:space="preserve">Is féidir, chomh fada is gurb as Contae Chill Mhantáin an príomhiarratasóir ó dhúchas, nó go bhfuil sé ina chónaí anseo le trí bliana anuas as a chéile. </w:t>
      </w:r>
      <w:r>
        <w:t xml:space="preserve"> </w:t>
      </w:r>
      <w:r>
        <w:t xml:space="preserve">Caithfear an scannánú a dhéanamh i gContae Chill Mhantáin freisin, agus déanfar gach íocaíocht deontais leis an gcomhlacht léiriúcháin.</w:t>
      </w:r>
      <w:r>
        <w:t xml:space="preserve"> </w:t>
      </w:r>
    </w:p>
    <w:p w14:paraId="59379DF8" w14:textId="77777777" w:rsidR="0071113B" w:rsidRPr="0077392D" w:rsidRDefault="0071113B" w:rsidP="00B200FB">
      <w:pPr>
        <w:jc w:val="both"/>
      </w:pPr>
    </w:p>
    <w:p w14:paraId="4B8D0EEC" w14:textId="5556A302" w:rsidR="00BB056D" w:rsidRPr="0077392D" w:rsidRDefault="00BB056D" w:rsidP="00B200F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</w:rPr>
        <w:t xml:space="preserve">Cén méid den deontas a íoctar roimh ré, agus cathain a d'fhéadfaimis a bheith ag súil leis an íocaíocht?</w:t>
      </w:r>
      <w:r>
        <w:rPr>
          <w:b/>
        </w:rPr>
        <w:t xml:space="preserve"> </w:t>
      </w:r>
    </w:p>
    <w:p w14:paraId="45170FD5" w14:textId="6C5390B9" w:rsidR="00BB056D" w:rsidRPr="0077392D" w:rsidRDefault="00BB056D" w:rsidP="00B200FB">
      <w:pPr>
        <w:ind w:left="360"/>
        <w:jc w:val="both"/>
      </w:pPr>
      <w:r>
        <w:t xml:space="preserve">Cuirfear na hiarratasóirí a n-éireoidh leo ar an eolas chomh luath agus is féidir tar éis na seisiúin chur i láthair.</w:t>
      </w:r>
      <w:r>
        <w:t xml:space="preserve"> </w:t>
      </w:r>
      <w:r>
        <w:t xml:space="preserve">Eiseofar conradh ansin, agus nuair a dhéanfaidh an príomhiarratasóir é sin a shíniú agus a chur ar ais, íocfar an chéad tráinse maoinithe laistigh de 3 seachtaine.</w:t>
      </w:r>
      <w:r>
        <w:t xml:space="preserve"> </w:t>
      </w:r>
      <w:r>
        <w:t xml:space="preserve">Íocfar 70% den deontas roimh ré, agus íocfar an 30% atá fágtha nuair a bheidh an scannán críochnaithe agus curtha isteach.</w:t>
      </w:r>
      <w:r>
        <w:t xml:space="preserve">  </w:t>
      </w:r>
    </w:p>
    <w:p w14:paraId="2B99CDDF" w14:textId="77777777" w:rsidR="0071113B" w:rsidRPr="0077392D" w:rsidRDefault="0071113B" w:rsidP="00B200FB">
      <w:pPr>
        <w:jc w:val="both"/>
      </w:pPr>
    </w:p>
    <w:p w14:paraId="0F121AE1" w14:textId="35FB0D25" w:rsidR="00FF2FD2" w:rsidRPr="0077392D" w:rsidRDefault="00BB056D" w:rsidP="00B200F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</w:rPr>
        <w:t xml:space="preserve">An Duais Bhliantúil í seo? </w:t>
      </w:r>
      <w:r>
        <w:rPr>
          <w:b/>
        </w:rPr>
        <w:t xml:space="preserve"> </w:t>
      </w:r>
    </w:p>
    <w:p w14:paraId="5D7A4AF2" w14:textId="76E26B92" w:rsidR="00C40748" w:rsidRPr="0077392D" w:rsidRDefault="00BB056D" w:rsidP="00B200FB">
      <w:pPr>
        <w:ind w:left="360"/>
        <w:jc w:val="both"/>
      </w:pPr>
      <w:r>
        <w:t xml:space="preserve">Is é an rún atá againn go mbeidh sé seo ina dhuais bhliantúil, ach braithfidh sé sin ar roinnt tosca éagsúla, nach bhfuil smacht againn ar go leor acu. </w:t>
      </w:r>
      <w:r>
        <w:t xml:space="preserve"> </w:t>
      </w:r>
      <w:r>
        <w:t xml:space="preserve">Mar sin, cé go samhlaímid go mbeidh Duais Gearrscannáin Chill Mhantáin ina duais bhliantúil, ní féidir linn a gheallúint go leanfaidh sé ar aghaidh go deo.</w:t>
      </w:r>
      <w:r>
        <w:t xml:space="preserve"> </w:t>
      </w:r>
    </w:p>
    <w:p w14:paraId="11DF0083" w14:textId="77777777" w:rsidR="0071113B" w:rsidRPr="0077392D" w:rsidRDefault="0071113B" w:rsidP="00B200FB">
      <w:pPr>
        <w:jc w:val="both"/>
      </w:pPr>
    </w:p>
    <w:p w14:paraId="7319F3A0" w14:textId="7D5BFA44" w:rsidR="00BB056D" w:rsidRPr="0077392D" w:rsidRDefault="00C40748" w:rsidP="00B200F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</w:rPr>
        <w:t xml:space="preserve">Má tá fad an scannáin le bheith thart ar 10-15 nóiméad, cé mhéad leathanach ba chóir a bheith i mo script? </w:t>
      </w:r>
      <w:r>
        <w:rPr>
          <w:b/>
        </w:rPr>
        <w:t xml:space="preserve"> </w:t>
      </w:r>
    </w:p>
    <w:p w14:paraId="32367AE9" w14:textId="184F878B" w:rsidR="00C40748" w:rsidRPr="0077392D" w:rsidRDefault="00C40748" w:rsidP="00B200FB">
      <w:pPr>
        <w:ind w:left="360"/>
        <w:jc w:val="both"/>
      </w:pPr>
      <w:r>
        <w:t xml:space="preserve">Braitheann sé seo ar an gcineál scannáin atá á mholadh agat, ar luas an scannáin agus ar thosca eile cosúil leis an méid comhrá in aghaidh an radhairc. </w:t>
      </w:r>
      <w:r>
        <w:t xml:space="preserve"> </w:t>
      </w:r>
      <w:r>
        <w:t xml:space="preserve">Mar sin féin, is "riail ghinearálta" mhaith é go gcomhfhreagraíonn leathanach amháin de script chaighdeánach do thart ar nóiméad amháin ar an scáileán.</w:t>
      </w:r>
      <w:r>
        <w:t xml:space="preserve"> </w:t>
      </w:r>
    </w:p>
    <w:p w14:paraId="40DE4A21" w14:textId="77777777" w:rsidR="00C40748" w:rsidRPr="0077392D" w:rsidRDefault="00C40748" w:rsidP="00B200FB">
      <w:pPr>
        <w:jc w:val="both"/>
      </w:pPr>
    </w:p>
    <w:p w14:paraId="47379E9C" w14:textId="610A5307" w:rsidR="00BB056D" w:rsidRPr="0077392D" w:rsidRDefault="00C40748" w:rsidP="00B200F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</w:rPr>
        <w:t xml:space="preserve">Má chuirim comhlacht léiriúcháin nua ar bun chun críocha na Duaise Scannáin seo, conas a thaispeánaim go bhfuil dea-theist air mura bhfuil aon scannáin léirithe aige fós?</w:t>
      </w:r>
      <w:r>
        <w:rPr>
          <w:b/>
        </w:rPr>
        <w:t xml:space="preserve"> </w:t>
      </w:r>
    </w:p>
    <w:p w14:paraId="55CA115E" w14:textId="4055AD38" w:rsidR="00C40748" w:rsidRPr="0077392D" w:rsidRDefault="00C40748" w:rsidP="00B200FB">
      <w:pPr>
        <w:ind w:left="360"/>
        <w:jc w:val="both"/>
      </w:pPr>
      <w:r>
        <w:t xml:space="preserve">Ní theastaíonn dea-theist ón gcomhlacht léiriúcháin féin más rud é gur bunaíodh é chun críocha na duaise seo. </w:t>
      </w:r>
      <w:r>
        <w:t xml:space="preserve"> </w:t>
      </w:r>
      <w:r>
        <w:t xml:space="preserve">Má tá tú ag bunú comhlacht léiriúcháin nua, is iad baill aonair na príomhfhoirne cruthaithí (scríbhneoir, stiúrthóir, léiritheoir) a bhfuil orthu dea-theist a léiriú ina réimsí faoi seach.</w:t>
      </w:r>
      <w:r>
        <w:t xml:space="preserve"> </w:t>
      </w:r>
    </w:p>
    <w:p w14:paraId="2B3D19D8" w14:textId="77777777" w:rsidR="00C40748" w:rsidRPr="0077392D" w:rsidRDefault="00C40748" w:rsidP="00B200FB">
      <w:pPr>
        <w:jc w:val="both"/>
      </w:pPr>
    </w:p>
    <w:p w14:paraId="22EE3793" w14:textId="77777777" w:rsidR="00C40748" w:rsidRPr="0077392D" w:rsidRDefault="00C40748" w:rsidP="00B200FB">
      <w:pPr>
        <w:jc w:val="both"/>
      </w:pPr>
    </w:p>
    <w:p w14:paraId="56107B8B" w14:textId="6C29B588" w:rsidR="00C40748" w:rsidRPr="0077392D" w:rsidRDefault="00C40748" w:rsidP="00B200F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</w:rPr>
        <w:t xml:space="preserve">An féidir le duine amháin na róil éagsúla sa phríomhfhoireann chruthaitheach (scríbhneoir, stiúrthóir, léiritheoir) a líonadh, sa chás go bhfuil taithí agam sna 3 réimse? </w:t>
      </w:r>
      <w:r>
        <w:rPr>
          <w:b/>
        </w:rPr>
        <w:t xml:space="preserve"> </w:t>
      </w:r>
    </w:p>
    <w:p w14:paraId="54C38DBC" w14:textId="35B5DC72" w:rsidR="00C40748" w:rsidRPr="0077392D" w:rsidRDefault="00C40748" w:rsidP="00B200FB">
      <w:pPr>
        <w:ind w:left="360"/>
        <w:jc w:val="both"/>
      </w:pPr>
      <w:r>
        <w:t xml:space="preserve">Is féidir leat iarratas a dhéanamh mar dhuine aonair, ach tabharfar tús áite d'iarratasóirí a bhfuil daoine eile, a bhfuil scileanna cuí acu, ar a bpríomhfhoireann chruthaitheach.</w:t>
      </w:r>
      <w:r>
        <w:t xml:space="preserve"> </w:t>
      </w:r>
      <w:r>
        <w:t xml:space="preserve">Cé go bhféadfadh taithí a bheith agat sna 3 disciplín, is dócha go gcuirfear cás níos láidre le haghaidh tacaíochta i láthair mar gheall ar thaithí chomhcheangailte scríbhneoirí, stiúrthóirí agus léiritheoirí aonair a bhfuil dea-teist orthu go léir ina réimsí faoi seach.</w:t>
      </w:r>
      <w:r>
        <w:t xml:space="preserve"> </w:t>
      </w:r>
      <w:r>
        <w:t xml:space="preserve">Ba mhaith linn a chinntiú freisin go rachaidh maoiniú chun tairbhe don oiread daoine agus is féidir, agus mar sin tabharfar tú áite d'iarratais a bhaineann foirne iomlána cruthaitheacha leo.</w:t>
      </w:r>
      <w:r>
        <w:t xml:space="preserve"> </w:t>
      </w:r>
    </w:p>
    <w:p w14:paraId="31980B1A" w14:textId="77777777" w:rsidR="0071113B" w:rsidRPr="0077392D" w:rsidRDefault="0071113B" w:rsidP="00B200FB">
      <w:pPr>
        <w:jc w:val="both"/>
      </w:pPr>
    </w:p>
    <w:p w14:paraId="4BA61A8D" w14:textId="3AF5DDEA" w:rsidR="00E46668" w:rsidRPr="0077392D" w:rsidRDefault="00E46668" w:rsidP="00B200F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</w:rPr>
        <w:t xml:space="preserve">Má tá comhlacht léiriúcháin agam, an féidir liom léiritheoir nó stiúrthóir a fhostú chun oibriú liom ar an scannán? </w:t>
      </w:r>
      <w:r>
        <w:rPr>
          <w:b/>
        </w:rPr>
        <w:t xml:space="preserve"> </w:t>
      </w:r>
    </w:p>
    <w:p w14:paraId="6CD8C0E8" w14:textId="58C8A6B6" w:rsidR="00E46668" w:rsidRPr="0077392D" w:rsidRDefault="00E46668" w:rsidP="00B200FB">
      <w:pPr>
        <w:ind w:left="360"/>
        <w:jc w:val="both"/>
      </w:pPr>
      <w:r>
        <w:t xml:space="preserve">Is féidir, féadfaidh tú léiritheoir agus/nó stiúrthóir a fhostú chun críocha an scannán a dhéanamh agus bheimis ag súil go n-íocfaí táille chuí le gach duine a d’oibreodh ar an tionscadal as a gcuid oibre.</w:t>
      </w:r>
      <w:r>
        <w:t xml:space="preserve"> </w:t>
      </w:r>
      <w:r>
        <w:t xml:space="preserve">Áirítear leis seo an fhoireann aisteoirí agus criú. </w:t>
      </w:r>
      <w:r>
        <w:t xml:space="preserve"> </w:t>
      </w:r>
      <w:r>
        <w:t xml:space="preserve">Chun tuilleadh eolais a fháil faoi seo, féach </w:t>
      </w:r>
      <w:hyperlink r:id="rId5" w:history="1">
        <w:r>
          <w:rPr>
            <w:rStyle w:val="Hyperlink"/>
          </w:rPr>
          <w:t xml:space="preserve">Polasaí na Comhairle Ealaíon ‘Ag Íoc an Ealaíontóra’.</w:t>
        </w:r>
      </w:hyperlink>
      <w:r>
        <w:t xml:space="preserve"> </w:t>
      </w:r>
    </w:p>
    <w:p w14:paraId="23FD8D8F" w14:textId="77777777" w:rsidR="0071113B" w:rsidRPr="0077392D" w:rsidRDefault="0071113B" w:rsidP="00B200FB">
      <w:pPr>
        <w:jc w:val="both"/>
      </w:pPr>
    </w:p>
    <w:p w14:paraId="02CE8000" w14:textId="08106579" w:rsidR="00236956" w:rsidRPr="0077392D" w:rsidRDefault="00236956" w:rsidP="00B200F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  <w:color w:val="000000"/>
        </w:rPr>
        <w:t xml:space="preserve">An bhfuil an duais seo oscailte do scríbhneoirí scáileáin nó an bhfuil sé dírithe ar stiúrthóirí agus léiritheoirí agus orthusan amháin?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Céard faoi scríbhneoirí scáileáin atá ag teacht chun cinn nach bhfuil an oiread sin taithí acu leis an stiúrthóir nó an léiritheoir?</w:t>
      </w:r>
    </w:p>
    <w:p w14:paraId="689ED0D6" w14:textId="121B8B44" w:rsidR="00E46668" w:rsidRPr="0077392D" w:rsidRDefault="00236956" w:rsidP="00B200FB">
      <w:pPr>
        <w:ind w:left="360"/>
        <w:jc w:val="both"/>
      </w:pPr>
      <w:r>
        <w:t xml:space="preserve">Tá, is féidir leis an bpríomhiarratasóir a bheith ina scríbhneoir scáileáin, ina stiúrthóir nó ina léiritheoir. </w:t>
      </w:r>
      <w:r>
        <w:t xml:space="preserve"> </w:t>
      </w:r>
      <w:r>
        <w:t xml:space="preserve">Aithnímid gur féidir é a bheith níos deacra uaireanta do scríbhneoirí scáileáin dea-theist a fhorbairt, agus mar sin tá scríbhneoirí scáileáin atá ag teacht chun cinn incháilithe chun iarratas a dhéanamh.</w:t>
      </w:r>
      <w:r>
        <w:t xml:space="preserve"> </w:t>
      </w:r>
      <w:r>
        <w:t xml:space="preserve">Mar sin féin, ba cheart dea-theist a bheith orthu fós i réimse gaolmhar, mar shampla, úrscéalta a scríobh nó duine a bhfuil taithí aige ar aisteoireacht.</w:t>
      </w:r>
      <w:r>
        <w:t xml:space="preserve"> </w:t>
      </w:r>
    </w:p>
    <w:p w14:paraId="65787260" w14:textId="77777777" w:rsidR="0071113B" w:rsidRPr="0077392D" w:rsidRDefault="0071113B" w:rsidP="00B200FB">
      <w:pPr>
        <w:jc w:val="both"/>
      </w:pPr>
    </w:p>
    <w:p w14:paraId="415198A9" w14:textId="38FFB33F" w:rsidR="0099456D" w:rsidRPr="0077392D" w:rsidRDefault="00236956" w:rsidP="00B200F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</w:rPr>
        <w:t xml:space="preserve">An féidir le roinnt ball den phríomhfhoireann chruthaitheach a bheith lonnaithe lasmuigh de Chill Mhantáin?</w:t>
      </w:r>
      <w:r>
        <w:rPr>
          <w:b/>
        </w:rPr>
        <w:t xml:space="preserve"> </w:t>
      </w:r>
    </w:p>
    <w:p w14:paraId="0E8051D6" w14:textId="2AA2BF64" w:rsidR="00236956" w:rsidRPr="0077392D" w:rsidRDefault="00236956" w:rsidP="00B200FB">
      <w:pPr>
        <w:ind w:left="360"/>
        <w:jc w:val="both"/>
      </w:pPr>
      <w:r>
        <w:t xml:space="preserve">Is féidir, ach caithfidh gurb as Contae Chill Mhantáin an príomhiarratasóir ó dhúchas, nó ina chónaí i gContae Chill Mhantáin le trí bliana anuas as a chéile. </w:t>
      </w:r>
      <w:r>
        <w:t xml:space="preserve"> </w:t>
      </w:r>
      <w:r>
        <w:t xml:space="preserve">Mar sin féin, toisc gur mian linn go mbraithfear tairbhe na Duaise Scannáin i gCill Mhantáin, tabharfar tús áite d'fhoirne cruthaitheacha atá lonnaithe go hiomlán i gCill Mhantáin.</w:t>
      </w:r>
      <w:r>
        <w:t xml:space="preserve"> </w:t>
      </w:r>
    </w:p>
    <w:p w14:paraId="76EC929F" w14:textId="77777777" w:rsidR="0071113B" w:rsidRPr="0077392D" w:rsidRDefault="0071113B" w:rsidP="00B200FB">
      <w:pPr>
        <w:jc w:val="both"/>
      </w:pPr>
    </w:p>
    <w:p w14:paraId="5DC6AA92" w14:textId="53155634" w:rsidR="00236956" w:rsidRPr="0077392D" w:rsidRDefault="00236956" w:rsidP="00B200F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</w:rPr>
        <w:t xml:space="preserve">An bhfuil CBL san áireamh i suim iomlán an deontais? </w:t>
      </w:r>
      <w:r>
        <w:rPr>
          <w:b/>
        </w:rPr>
        <w:t xml:space="preserve"> </w:t>
      </w:r>
    </w:p>
    <w:p w14:paraId="65755376" w14:textId="55D009BF" w:rsidR="0071113B" w:rsidRPr="0077392D" w:rsidRDefault="0071113B" w:rsidP="00B200FB">
      <w:pPr>
        <w:ind w:left="360"/>
        <w:jc w:val="both"/>
      </w:pPr>
      <w:r>
        <w:t xml:space="preserve">Tá, is é €15,000 an méid iomlán maoinithe atá ar fáil, le CBL san áireamh. </w:t>
      </w:r>
      <w:r>
        <w:t xml:space="preserve"> </w:t>
      </w:r>
      <w:r>
        <w:t xml:space="preserve">Má tá do chuideachta cláraithe le haghaidh CBL, beidh ort é seo a chur san áireamh i do bhuiséad.</w:t>
      </w:r>
      <w:r>
        <w:t xml:space="preserve"> </w:t>
      </w:r>
    </w:p>
    <w:p w14:paraId="3227E0AD" w14:textId="77777777" w:rsidR="0071113B" w:rsidRPr="0077392D" w:rsidRDefault="0071113B" w:rsidP="00B200FB">
      <w:pPr>
        <w:jc w:val="both"/>
        <w:rPr>
          <w:b/>
          <w:bCs/>
        </w:rPr>
      </w:pPr>
    </w:p>
    <w:p w14:paraId="4FF3001E" w14:textId="7B5448AA" w:rsidR="0071113B" w:rsidRPr="0077392D" w:rsidRDefault="0071113B" w:rsidP="00B200F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</w:rPr>
        <w:t xml:space="preserve">An gá dúinn fotheidil a bheith againn? </w:t>
      </w:r>
      <w:r>
        <w:rPr>
          <w:b/>
        </w:rPr>
        <w:t xml:space="preserve"> </w:t>
      </w:r>
    </w:p>
    <w:p w14:paraId="26DB2B35" w14:textId="1FEF7AC0" w:rsidR="0071113B" w:rsidRPr="0077392D" w:rsidRDefault="0071113B" w:rsidP="00B200FB">
      <w:pPr>
        <w:ind w:left="360"/>
        <w:jc w:val="both"/>
      </w:pPr>
      <w:r>
        <w:t xml:space="preserve">Ní ga, ní riachtanas maoinithe é seo faoi láthair, agus beidh fotheideal a bheith ann faoi rogha na foirne cruthaitheach.</w:t>
      </w:r>
      <w:r>
        <w:t xml:space="preserve"> </w:t>
      </w:r>
      <w:r>
        <w:t xml:space="preserve">Má tá sé i gceist agat do shaothar a chur isteach chuig féilte scannán, mholfaimis duit seiceáil an bhfuil gá le fotheidil.</w:t>
      </w:r>
      <w:r>
        <w:t xml:space="preserve"> </w:t>
      </w:r>
      <w:r>
        <w:t xml:space="preserve">Más i nGaeilge atá do scannán, beidh ort aistriúcháin agus fotheidil a bheith agat.</w:t>
      </w:r>
      <w:r>
        <w:rPr>
          <w:b/>
        </w:rPr>
        <w:t xml:space="preserve"> </w:t>
      </w:r>
    </w:p>
    <w:p w14:paraId="368BA4A6" w14:textId="77777777" w:rsidR="00F8322D" w:rsidRPr="0077392D" w:rsidRDefault="00F8322D" w:rsidP="00B200FB">
      <w:pPr>
        <w:jc w:val="both"/>
      </w:pPr>
    </w:p>
    <w:p w14:paraId="18E57085" w14:textId="109CE638" w:rsidR="0071113B" w:rsidRPr="0077392D" w:rsidRDefault="0071113B" w:rsidP="00B200F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</w:rPr>
        <w:t xml:space="preserve">An bhfuil srianta ar ar féidir leat an maoiniú a úsáid lena aghaidh?</w:t>
      </w:r>
      <w:r>
        <w:rPr>
          <w:b/>
        </w:rPr>
        <w:t xml:space="preserve"> </w:t>
      </w:r>
    </w:p>
    <w:p w14:paraId="75C0968C" w14:textId="7FB8F3AC" w:rsidR="0071113B" w:rsidRPr="0077392D" w:rsidRDefault="0071113B" w:rsidP="00B200FB">
      <w:pPr>
        <w:ind w:left="360"/>
        <w:jc w:val="both"/>
      </w:pPr>
      <w:r>
        <w:t xml:space="preserve">Fad is go gcaitear an maoiniú go léir ar chostais a bhaineann go díreach le léiriú an scannáin, is é an t-aon srian atá ann ná nach féidir leat an maoiniú a úsáid chun alcól a cheannach.</w:t>
      </w:r>
      <w:r>
        <w:t xml:space="preserve"> </w:t>
      </w:r>
      <w:r>
        <w:t xml:space="preserve">Déanfaidh an painéal athbhreithniú ar do bhuiséad mar chuid den phróiseas measúnaithe, agus bheimis ag súil le leibhéil chuí caiteachais a fheiceáil sna catagóirí buiséid éagsúla de réir an teimpléid buiséid.</w:t>
      </w:r>
      <w:r>
        <w:t xml:space="preserve"> </w:t>
      </w:r>
    </w:p>
    <w:p w14:paraId="4BD1B13C" w14:textId="5CB12D4B" w:rsidR="0099456D" w:rsidRPr="0077392D" w:rsidRDefault="00FF2FD2" w:rsidP="00B200FB">
      <w:pPr>
        <w:jc w:val="both"/>
        <w:rPr>
          <w:b/>
          <w:bCs/>
        </w:rPr>
      </w:pPr>
      <w:r>
        <w:rPr>
          <w:b/>
        </w:rPr>
        <w:t xml:space="preserve"> </w:t>
      </w:r>
    </w:p>
    <w:p w14:paraId="5CFD8891" w14:textId="6FF2EBDC" w:rsidR="0071113B" w:rsidRPr="0077392D" w:rsidRDefault="0071113B" w:rsidP="00B200F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rPr>
          <w:b/>
        </w:rPr>
        <w:t xml:space="preserve">Cá bhfaighidh mé tuilleadh eolais faoi chuideachta a bhunú?</w:t>
      </w:r>
      <w:r>
        <w:rPr>
          <w:b/>
        </w:rPr>
        <w:t xml:space="preserve"> </w:t>
      </w:r>
    </w:p>
    <w:p w14:paraId="0B66F25C" w14:textId="7E66B584" w:rsidR="0071113B" w:rsidRDefault="0071113B" w:rsidP="00B200FB">
      <w:pPr>
        <w:ind w:left="360"/>
        <w:jc w:val="both"/>
      </w:pPr>
      <w:r>
        <w:t xml:space="preserve">Is féidir le hOifig Fiontair Áitiúil Chill Mhantáin Clinic Comhairle Gnó duine le duine saor in aisce a chur ar fáil faoin mbealach le do ghnó féin a bhunú.</w:t>
      </w:r>
      <w:r>
        <w:t xml:space="preserve"> </w:t>
      </w:r>
      <w:r>
        <w:t xml:space="preserve">Má tá spéis agat, seol ríomhphost chuig </w:t>
      </w:r>
      <w:hyperlink r:id="rId6" w:history="1">
        <w:r>
          <w:rPr>
            <w:rStyle w:val="Hyperlink"/>
          </w:rPr>
          <w:t xml:space="preserve">filmaward@wicklowcoco.ie</w:t>
        </w:r>
      </w:hyperlink>
      <w:r>
        <w:t xml:space="preserve">.</w:t>
      </w:r>
      <w:r>
        <w:t xml:space="preserve"> </w:t>
      </w:r>
    </w:p>
    <w:p w14:paraId="2104BEB5" w14:textId="77777777" w:rsidR="0077392D" w:rsidRDefault="0077392D" w:rsidP="00B200FB">
      <w:pPr>
        <w:jc w:val="both"/>
      </w:pPr>
    </w:p>
    <w:p w14:paraId="150BCE00" w14:textId="77777777" w:rsidR="0077392D" w:rsidRDefault="0077392D" w:rsidP="00B200FB">
      <w:pPr>
        <w:jc w:val="both"/>
      </w:pPr>
    </w:p>
    <w:p w14:paraId="40D11D2F" w14:textId="77777777" w:rsidR="0077392D" w:rsidRPr="0077392D" w:rsidRDefault="0077392D" w:rsidP="00B200FB">
      <w:pPr>
        <w:jc w:val="both"/>
      </w:pPr>
    </w:p>
    <w:sectPr w:rsidR="0077392D" w:rsidRPr="00773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F3325"/>
    <w:multiLevelType w:val="hybridMultilevel"/>
    <w:tmpl w:val="C632DF34"/>
    <w:lvl w:ilvl="0" w:tplc="056C45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3F4B"/>
    <w:multiLevelType w:val="hybridMultilevel"/>
    <w:tmpl w:val="480E9E2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970930"/>
    <w:multiLevelType w:val="hybridMultilevel"/>
    <w:tmpl w:val="49886D4E"/>
    <w:lvl w:ilvl="0" w:tplc="21A86C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27FDF"/>
    <w:multiLevelType w:val="hybridMultilevel"/>
    <w:tmpl w:val="BF40A2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335DD"/>
    <w:multiLevelType w:val="hybridMultilevel"/>
    <w:tmpl w:val="3FB210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A3AEA"/>
    <w:multiLevelType w:val="multilevel"/>
    <w:tmpl w:val="E12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3295501">
    <w:abstractNumId w:val="2"/>
  </w:num>
  <w:num w:numId="2" w16cid:durableId="130679831">
    <w:abstractNumId w:val="0"/>
  </w:num>
  <w:num w:numId="3" w16cid:durableId="76484846">
    <w:abstractNumId w:val="5"/>
  </w:num>
  <w:num w:numId="4" w16cid:durableId="2137790650">
    <w:abstractNumId w:val="3"/>
  </w:num>
  <w:num w:numId="5" w16cid:durableId="392047217">
    <w:abstractNumId w:val="4"/>
  </w:num>
  <w:num w:numId="6" w16cid:durableId="105535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E9"/>
    <w:rsid w:val="00024B6F"/>
    <w:rsid w:val="000E7B2A"/>
    <w:rsid w:val="00157239"/>
    <w:rsid w:val="00157BAB"/>
    <w:rsid w:val="00236956"/>
    <w:rsid w:val="002D1E89"/>
    <w:rsid w:val="003443C5"/>
    <w:rsid w:val="00530DE9"/>
    <w:rsid w:val="005E3524"/>
    <w:rsid w:val="00685FEF"/>
    <w:rsid w:val="0071113B"/>
    <w:rsid w:val="0077392D"/>
    <w:rsid w:val="0099456D"/>
    <w:rsid w:val="009B1220"/>
    <w:rsid w:val="00B200FB"/>
    <w:rsid w:val="00BB056D"/>
    <w:rsid w:val="00C05501"/>
    <w:rsid w:val="00C40748"/>
    <w:rsid w:val="00C7277D"/>
    <w:rsid w:val="00C77BD7"/>
    <w:rsid w:val="00E11F76"/>
    <w:rsid w:val="00E46668"/>
    <w:rsid w:val="00EF2637"/>
    <w:rsid w:val="00F8322D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22FC"/>
  <w15:chartTrackingRefBased/>
  <w15:docId w15:val="{A08E5091-5134-47D7-8905-AB5E10F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D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D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D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DE9"/>
    <w:rPr>
      <w:b/>
      <w:bCs/>
      <w:smallCaps/>
      <w:color w:val="0F4761" w:themeColor="accent1" w:themeShade="BF"/>
      <w:spacing w:val="5"/>
    </w:rPr>
  </w:style>
  <w:style w:type="paragraph" w:customStyle="1" w:styleId="m-6463405191375496952msolistparagraph">
    <w:name w:val="m_-6463405191375496952msolistparagraph"/>
    <w:basedOn w:val="Normal"/>
    <w:rsid w:val="00BB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2369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maward@wicklowcoco.ie" TargetMode="External"/><Relationship Id="rId5" Type="http://schemas.openxmlformats.org/officeDocument/2006/relationships/hyperlink" Target="https://www.artscouncil.ie/uploadedFiles/Main_Site/Content/About_Us/Paying%20the%20Artist%20(Single%20Page%20-%20EN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O' Regan</dc:creator>
  <cp:keywords/>
  <dc:description/>
  <cp:lastModifiedBy>John Powderly</cp:lastModifiedBy>
  <cp:revision>2</cp:revision>
  <dcterms:created xsi:type="dcterms:W3CDTF">2025-03-19T16:10:00Z</dcterms:created>
  <dcterms:modified xsi:type="dcterms:W3CDTF">2025-03-19T16:10:00Z</dcterms:modified>
</cp:coreProperties>
</file>